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75708" w14:textId="77777777" w:rsidR="00E03DCD" w:rsidRDefault="00000000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 xml:space="preserve">Figure 1.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Table of genes for </w:t>
      </w:r>
      <w:r>
        <w:rPr>
          <w:rFonts w:ascii="Times New Roman" w:hAnsi="Times New Roman" w:cs="Times New Roman"/>
          <w:color w:val="000000" w:themeColor="text1"/>
          <w:szCs w:val="21"/>
        </w:rPr>
        <w:t>"</w:t>
      </w:r>
      <w:proofErr w:type="spellStart"/>
      <w:r>
        <w:rPr>
          <w:rFonts w:ascii="Times New Roman" w:hAnsi="Times New Roman" w:cs="Times New Roman"/>
          <w:color w:val="000000" w:themeColor="text1"/>
          <w:szCs w:val="21"/>
        </w:rPr>
        <w:t>cuproptosis</w:t>
      </w:r>
      <w:proofErr w:type="spellEnd"/>
      <w:r>
        <w:rPr>
          <w:rFonts w:ascii="Times New Roman" w:hAnsi="Times New Roman" w:cs="Times New Roman"/>
          <w:color w:val="000000" w:themeColor="text1"/>
          <w:szCs w:val="21"/>
        </w:rPr>
        <w:t>" and "copper metabolism"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.</w:t>
      </w:r>
    </w:p>
    <w:p w14:paraId="5A478710" w14:textId="77777777" w:rsidR="00B12114" w:rsidRDefault="00B12114" w:rsidP="00B1211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Figure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.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Identification of the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cuproptosis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-related gene by Lasso cox regression analysis in HCC. </w:t>
      </w:r>
    </w:p>
    <w:p w14:paraId="05154CFA" w14:textId="77777777" w:rsidR="00B12114" w:rsidRDefault="00B12114" w:rsidP="00B12114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A, B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)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LASSO Cox regression with a 10-fold cross-validation for the prognostic value of the </w:t>
      </w:r>
      <w:proofErr w:type="spellStart"/>
      <w:r>
        <w:rPr>
          <w:rFonts w:ascii="Times New Roman" w:hAnsi="Times New Roman" w:cs="Times New Roman"/>
          <w:color w:val="000000" w:themeColor="text1"/>
          <w:szCs w:val="21"/>
        </w:rPr>
        <w:t>cuproptosis</w:t>
      </w:r>
      <w:proofErr w:type="spellEnd"/>
      <w:r>
        <w:rPr>
          <w:rFonts w:ascii="Times New Roman" w:hAnsi="Times New Roman" w:cs="Times New Roman"/>
          <w:color w:val="000000" w:themeColor="text1"/>
          <w:szCs w:val="21"/>
        </w:rPr>
        <w:t>-associated 6 genes, including FDX1, CAT, CDKN2A, DLAT, LIPT1, COMMD1.</w:t>
      </w:r>
    </w:p>
    <w:p w14:paraId="69923E18" w14:textId="77777777" w:rsidR="00B12114" w:rsidRDefault="00B12114" w:rsidP="00B12114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Figure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.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Drug sensitivity correlated with high-and low-risk patients in hepatocellular carcinoma.</w:t>
      </w:r>
    </w:p>
    <w:p w14:paraId="2A651688" w14:textId="77777777" w:rsidR="00B12114" w:rsidRDefault="00B12114" w:rsidP="00B12114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(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>A-P</w:t>
      </w:r>
      <w:r>
        <w:rPr>
          <w:rFonts w:ascii="Times New Roman" w:hAnsi="Times New Roman" w:cs="Times New Roman" w:hint="eastAsia"/>
          <w:b/>
          <w:bCs/>
          <w:color w:val="000000" w:themeColor="text1"/>
          <w:szCs w:val="21"/>
        </w:rPr>
        <w:t>)</w:t>
      </w:r>
      <w:r>
        <w:rPr>
          <w:rFonts w:ascii="Times New Roman" w:hAnsi="Times New Roman" w:cs="Times New Roman"/>
          <w:b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</w:rPr>
        <w:t>IC 50 value of sensitive drugs in high-and low-risk patients with HCC.</w:t>
      </w:r>
    </w:p>
    <w:p w14:paraId="4750A458" w14:textId="77777777" w:rsidR="00B12114" w:rsidRPr="00B12114" w:rsidRDefault="00B12114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</w:p>
    <w:p w14:paraId="16427612" w14:textId="77777777" w:rsidR="00E03DCD" w:rsidRDefault="00E03DCD">
      <w:pPr>
        <w:rPr>
          <w:rFonts w:ascii="Times New Roman" w:hAnsi="Times New Roman" w:cs="Times New Roman"/>
          <w:color w:val="000000" w:themeColor="text1"/>
          <w:szCs w:val="21"/>
        </w:rPr>
      </w:pPr>
    </w:p>
    <w:sectPr w:rsidR="00E03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ZkNzQ4ZWFiZmQ4NTRhOWRkZTk3YTMwMjlmMmZhYmUifQ=="/>
  </w:docVars>
  <w:rsids>
    <w:rsidRoot w:val="147D7BAF"/>
    <w:rsid w:val="008A7C20"/>
    <w:rsid w:val="00B12114"/>
    <w:rsid w:val="00E03DCD"/>
    <w:rsid w:val="147D7BAF"/>
    <w:rsid w:val="57BC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3C3DDB"/>
  <w15:docId w15:val="{5B18412D-D29B-491C-B889-603325D3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Zephyrine</dc:creator>
  <cp:lastModifiedBy>TSP TSP</cp:lastModifiedBy>
  <cp:revision>2</cp:revision>
  <dcterms:created xsi:type="dcterms:W3CDTF">2024-05-15T02:50:00Z</dcterms:created>
  <dcterms:modified xsi:type="dcterms:W3CDTF">2024-05-28T01:06:00Z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5C58C0FAE01E4626B82E0ABF0215F9DC_11</vt:lpwstr>
  </property>
</Properties>
</file>